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750216"/>
                <wp:effectExtent b="0" l="0" r="0" t="0"/>
                <wp:wrapTopAndBottom distB="0" distT="0"/>
                <wp:docPr id="21" name=""/>
                <a:graphic>
                  <a:graphicData uri="http://schemas.microsoft.com/office/word/2010/wordprocessingGroup">
                    <wpg:wgp>
                      <wpg:cNvGrpSpPr/>
                      <wpg:grpSpPr>
                        <a:xfrm>
                          <a:off x="2288150" y="3414375"/>
                          <a:ext cx="6115685" cy="750216"/>
                          <a:chOff x="2288150" y="3414375"/>
                          <a:chExt cx="6115700" cy="731250"/>
                        </a:xfrm>
                      </wpg:grpSpPr>
                      <wpg:grpSp>
                        <wpg:cNvGrpSpPr/>
                        <wpg:grpSpPr>
                          <a:xfrm>
                            <a:off x="2288158" y="3414389"/>
                            <a:ext cx="6115685" cy="731223"/>
                            <a:chOff x="2288150" y="3423875"/>
                            <a:chExt cx="6115700" cy="712250"/>
                          </a:xfrm>
                        </wpg:grpSpPr>
                        <wps:wsp>
                          <wps:cNvSpPr/>
                          <wps:cNvPr id="3" name="Shape 3"/>
                          <wps:spPr>
                            <a:xfrm>
                              <a:off x="2288150" y="3423875"/>
                              <a:ext cx="6115700" cy="71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23885"/>
                              <a:ext cx="6115685" cy="712230"/>
                              <a:chOff x="2288150" y="3433375"/>
                              <a:chExt cx="6115700" cy="693250"/>
                            </a:xfrm>
                          </wpg:grpSpPr>
                          <wps:wsp>
                            <wps:cNvSpPr/>
                            <wps:cNvPr id="5" name="Shape 5"/>
                            <wps:spPr>
                              <a:xfrm>
                                <a:off x="2288150" y="3433375"/>
                                <a:ext cx="6115700" cy="69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33381"/>
                                <a:ext cx="6115685" cy="693238"/>
                                <a:chOff x="2288025" y="3442500"/>
                                <a:chExt cx="6115725" cy="674275"/>
                              </a:xfrm>
                            </wpg:grpSpPr>
                            <wps:wsp>
                              <wps:cNvSpPr/>
                              <wps:cNvPr id="7" name="Shape 7"/>
                              <wps:spPr>
                                <a:xfrm>
                                  <a:off x="2288025" y="3442500"/>
                                  <a:ext cx="6115725" cy="674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39" y="3442517"/>
                                  <a:ext cx="6115700" cy="674238"/>
                                  <a:chOff x="2288150" y="3452350"/>
                                  <a:chExt cx="6115700" cy="655300"/>
                                </a:xfrm>
                              </wpg:grpSpPr>
                              <wps:wsp>
                                <wps:cNvSpPr/>
                                <wps:cNvPr id="9" name="Shape 9"/>
                                <wps:spPr>
                                  <a:xfrm>
                                    <a:off x="2288150" y="3452350"/>
                                    <a:ext cx="6115700" cy="65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52374"/>
                                    <a:ext cx="6115685" cy="655252"/>
                                    <a:chOff x="2288150" y="3461850"/>
                                    <a:chExt cx="6115700" cy="636300"/>
                                  </a:xfrm>
                                </wpg:grpSpPr>
                                <wps:wsp>
                                  <wps:cNvSpPr/>
                                  <wps:cNvPr id="11" name="Shape 11"/>
                                  <wps:spPr>
                                    <a:xfrm>
                                      <a:off x="2288150" y="3461850"/>
                                      <a:ext cx="6115700" cy="63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61871"/>
                                      <a:ext cx="6115685" cy="636259"/>
                                      <a:chOff x="2288150" y="3471350"/>
                                      <a:chExt cx="6115700" cy="617300"/>
                                    </a:xfrm>
                                  </wpg:grpSpPr>
                                  <wps:wsp>
                                    <wps:cNvSpPr/>
                                    <wps:cNvPr id="13" name="Shape 13"/>
                                    <wps:spPr>
                                      <a:xfrm>
                                        <a:off x="2288150" y="3471350"/>
                                        <a:ext cx="6115700" cy="6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71367"/>
                                        <a:ext cx="6115685" cy="617266"/>
                                        <a:chOff x="2288150" y="3480850"/>
                                        <a:chExt cx="6115700" cy="598300"/>
                                      </a:xfrm>
                                    </wpg:grpSpPr>
                                    <wps:wsp>
                                      <wps:cNvSpPr/>
                                      <wps:cNvPr id="15" name="Shape 15"/>
                                      <wps:spPr>
                                        <a:xfrm>
                                          <a:off x="2288150" y="3480850"/>
                                          <a:ext cx="6115700" cy="59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80863"/>
                                          <a:ext cx="6115685" cy="598274"/>
                                          <a:chOff x="2288150" y="3490350"/>
                                          <a:chExt cx="6115700" cy="579300"/>
                                        </a:xfrm>
                                      </wpg:grpSpPr>
                                      <wps:wsp>
                                        <wps:cNvSpPr/>
                                        <wps:cNvPr id="17" name="Shape 17"/>
                                        <wps:spPr>
                                          <a:xfrm>
                                            <a:off x="2288150" y="3490350"/>
                                            <a:ext cx="61157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0360"/>
                                            <a:ext cx="6115685" cy="579281"/>
                                            <a:chOff x="2288150" y="3499850"/>
                                            <a:chExt cx="6115700" cy="560300"/>
                                          </a:xfrm>
                                        </wpg:grpSpPr>
                                        <wps:wsp>
                                          <wps:cNvSpPr/>
                                          <wps:cNvPr id="19" name="Shape 19"/>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21" name="Shape 21"/>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23" name="Shape 23"/>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25" name="Shape 25"/>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27" name="Shape 27"/>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29" name="Shape 29"/>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31" name="Shape 31"/>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33" name="Shape 33"/>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35" name="Shape 35"/>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37" name="Shape 37"/>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39" name="Shape 39"/>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41" name="Shape 41"/>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43" name="Shape 43"/>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44" name="Shape 44"/>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108.00000190734863"/>
                                                                        <w:jc w:val="left"/>
                                                                        <w:textDirection w:val="btLr"/>
                                                                      </w:pPr>
                                                                      <w:r w:rsidDel="00000000" w:rsidR="00000000" w:rsidRPr="00000000">
                                                                        <w:rPr>
                                                                          <w:rFonts w:ascii="Arial" w:cs="Arial" w:eastAsia="Arial" w:hAnsi="Arial"/>
                                                                          <w:b w:val="0"/>
                                                                          <w:i w:val="0"/>
                                                                          <w:smallCaps w:val="0"/>
                                                                          <w:strike w:val="0"/>
                                                                          <w:color w:val="00000a"/>
                                                                          <w:sz w:val="22"/>
                                                                          <w:vertAlign w:val="baseline"/>
                                                                        </w:rPr>
                                                                        <w:t xml:space="preserve">Curso de investigación e instrucción sumarial en el marco del derecho ambiental</w:t>
                                                                      </w:r>
                                                                      <w:r w:rsidDel="00000000" w:rsidR="00000000" w:rsidRPr="00000000">
                                                                        <w:rPr>
                                                                          <w:rFonts w:ascii="Arial" w:cs="Arial" w:eastAsia="Arial" w:hAnsi="Arial"/>
                                                                          <w:b w:val="0"/>
                                                                          <w:i w:val="0"/>
                                                                          <w:smallCaps w:val="0"/>
                                                                          <w:strike w:val="0"/>
                                                                          <w:color w:val="00000a"/>
                                                                          <w:sz w:val="22"/>
                                                                          <w:vertAlign w:val="baseline"/>
                                                                        </w:rPr>
                                                                        <w:t xml:space="preserve">.</w:t>
                                                                      </w:r>
                                                                    </w:p>
                                                                  </w:txbxContent>
                                                                </wps:txbx>
                                                                <wps:bodyPr anchorCtr="0" anchor="t" bIns="0" lIns="0" spcFirstLastPara="1" rIns="0" wrap="square" tIns="0">
                                                                  <a:noAutofit/>
                                                                </wps:bodyPr>
                                                              </wps:wsp>
                                                            </wpg:grpSp>
                                                          </wpg:grpSp>
                                                        </wpg:grpSp>
                                                      </wpg:grpSp>
                                                    </wpg:grpSp>
                                                  </wpg:grpSp>
                                                </wpg:grpSp>
                                              </wpg:grp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750216"/>
                <wp:effectExtent b="0" l="0" r="0" t="0"/>
                <wp:wrapTopAndBottom distB="0" distT="0"/>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750216"/>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after="240" w:before="240" w:line="360" w:lineRule="auto"/>
        <w:jc w:val="both"/>
        <w:rPr>
          <w:rFonts w:ascii="Arial" w:cs="Arial" w:eastAsia="Arial" w:hAnsi="Arial"/>
          <w:b w:val="1"/>
          <w:color w:val="00000a"/>
        </w:rPr>
      </w:pPr>
      <w:r w:rsidDel="00000000" w:rsidR="00000000" w:rsidRPr="00000000">
        <w:rPr>
          <w:rFonts w:ascii="Arial" w:cs="Arial" w:eastAsia="Arial" w:hAnsi="Arial"/>
          <w:color w:val="00000a"/>
          <w:rtl w:val="0"/>
        </w:rPr>
        <w:t xml:space="preserve">Propicia esta iniciativa de capacitación, la necesidad que tiene la Dirección de Prevención Ecológica y Sustancias Peligrosas de contar con efectivos altamente capacitados para llevar adelante, no solo una adecuada y eficaz respuesta técnica operativa frente a un incidente, eventos, emergencias o procedimiento, sino también poseer los conocimientos sobre la simultánea o ulterior instrucción del sumario judicial, lo cual le permitirá al personal interviniente comprender el procedimiento en su totalidad y facilitar el posterior trabajo de los organismos judiciales, provinciales, etc. intervinientes en la materia. Asimismo, esta capacitación pretende la formación de personal que interviene en cuestiones extremadamente sensibles como la seguridad pública en general y el medio ambiente y salud pública en particular como bienes jurídicos protegidos por la normativa vigente.</w:t>
      </w:r>
      <w:r w:rsidDel="00000000" w:rsidR="00000000" w:rsidRPr="00000000">
        <w:rPr>
          <w:rtl w:val="0"/>
        </w:rPr>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before="240" w:line="360" w:lineRule="auto"/>
        <w:jc w:val="both"/>
        <w:rPr>
          <w:rFonts w:ascii="Arial" w:cs="Arial" w:eastAsia="Arial" w:hAnsi="Arial"/>
        </w:rPr>
      </w:pPr>
      <w:r w:rsidDel="00000000" w:rsidR="00000000" w:rsidRPr="00000000">
        <w:rPr>
          <w:rFonts w:ascii="Arial" w:cs="Arial" w:eastAsia="Arial" w:hAnsi="Arial"/>
          <w:rtl w:val="0"/>
        </w:rPr>
        <w:t xml:space="preserve">La capacitación está destinada al personal policial del Subescalafón Comando y Subescalafón General perteneciente al Ministerio de Seguridad de la provincia de Buenos Aires. También estará destinada al personal civil integrante de los organismos públicos que se encuentren relacionados con las incumbencias de la Dirección de Prevención Ecológica y Sustancias Peligrosas.</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40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 edición.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 junio.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40.</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investigaciondelitosambientales@laplata.mseg.gba.gov.ar</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WisubkZml588ZzJ2lX4xT5CHQ==">CgMxLjA4AHIhMWQzTVBuZXVSb1hXV3F0S3lJQXlYRHVibDBPZ1FGZGRs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